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273</w:t>
      </w:r>
    </w:p>
    <w:p>
      <w:r>
        <w:t>Bundesgericht (BGE), 1999-01-01, DE</w:t>
      </w:r>
    </w:p>
    <w:p>
      <w:r>
        <w:rPr>
          <w:b/>
        </w:rPr>
        <w:t xml:space="preserve">Quelle: </w:t>
      </w:r>
      <w:r>
        <w:t>https://mcp.opencaselaw.ch/entscheid/bge_125 IV 273</w:t>
      </w:r>
    </w:p>
    <w:p>
      <w:r>
        <w:t>FR: ATF 125 IV 273</w:t>
      </w:r>
    </w:p>
    <w:p>
      <w:r>
        <w:t>IT: DTF 125 IV 273</w:t>
      </w:r>
    </w:p>
    <w:p>
      <w:pPr>
        <w:pStyle w:val="Heading2"/>
      </w:pPr>
      <w:r>
        <w:t>Regeste</w:t>
      </w:r>
    </w:p>
    <w:p>
      <w:r>
        <w:t>Regeste Art. 251 Ziff. 1 StGB; Falschbeurkundung. Falschbeurkundung verneint bei zwei inhaltlich falschen Erklärungen über die Finanzierung des Kaufs einer Eigentumswohnung.</w:t>
      </w:r>
    </w:p>
    <w:p>
      <w:pPr>
        <w:pStyle w:val="Heading2"/>
      </w:pPr>
      <w:r>
        <w:t>Erwägungen</w:t>
      </w:r>
    </w:p>
    <w:p>
      <w:r>
        <w:rPr>
          <w:b/>
        </w:rPr>
        <w:t>E. 2</w:t>
      </w:r>
    </w:p>
    <w:p>
      <w:r>
        <w:t>a) Die erste Instanz ist der Auffassung, dass keine allgemein gültige objektive Garantie besteht, welche die Wahrheit der Angaben in den Dokumenten 1 und 2 gewährleistet. Sie verneint deshalb den objektiven Tatbestand der Falschbeurkundung. Die Vorinstanz kommt zum gleichen Schluss. b) Der Beschwerdeführer macht geltend, der Tatbestand der Falschbeurkundung sei erfüllt. Die Dokumente dürften nicht, wie das die kantonalen Instanzen getan hätten, isoliert betrachtet werden. Sie seien als Gesamtheit anzuschauen, wobei von Dokument 2 auszugehen sei. Dokument 1 diene als eine Art Beleg oder Beweismittel aus den Handakten des Beschwerdegegners 1 und soll die inhaltliche Richtigkeit von Dokument 2 bestätigen.</w:t>
      </w:r>
    </w:p>
    <w:p>
      <w:r>
        <w:rPr>
          <w:b/>
        </w:rPr>
        <w:t>E. 3</w:t>
      </w:r>
    </w:p>
    <w:p>
      <w:r>
        <w:t>a) aa)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Nach der Praxis kann sich die Beweisbestimmung eines Schriftstücks einerseits unmittelbar aus dem Gesetz ergeben und andererseits aus dessen Sinn oder Natur abgeleitet werden. Ebenfalls nach Gesetz oder aber BGE 125 IV 273 S. 277 nach der Verkehrsübung bestimmt sich, ob und inwieweit einer Schrift Beweiseignung zukommt. Eine Falschbeurkundung begeht nach Art. 251 Ziff. 1 StGB , wer eine rechtlich erhebliche Tatsache unrichtig beurkundet oder beurkunden lässt, in der Absicht, jemanden am Vermögen oder an andern Rechten zu schädigen oder sich oder einem andern einen unrechtmässigen Vorteil zu verschaffen. Nach der gleichen Bestimmung macht sich strafbar, wer eine Urkunde dieser Art zur Täuschung gebraucht.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125 IV 17 E. 2a/aa mit Hinweisen). BGE 125 IV 273 S. 278 bb) In seiner neueren Rechtsprechung hat das Bundesgericht eine Falschbeurkundung in folgenden Fällen verneint: beim Ausstellen einer fingierten Rechnung zuhanden einer Versicherung ( BGE 117 IV 35 ); bei der zuhanden einer Anlegerin ausgestellten inhaltlich unrichtigen Bestätigung, wonach der Aussteller einen von der Anlegerin einem Dritten übergebenen Geldbetrag auf treuhänderischer Basis verwalte und einen bestimmten Jahreszins entrichten werde ( BGE 117 IV 168 mit Hinweis); beim Erstellen von inhaltlich unwahren Regierapporten ( BGE 117 IV 165 ); beim Erstellen von Lohnabrechnungen auf den Namen einer Person, die nicht mit dem wirklichen Arbeitnehmer identisch war ( BGE 118 IV 363 ); bei der Errichtung einer inhaltlich falschen Vertragsurkunde, ohne dass besondere Garantien bestanden, dass die beiden übereinstimmend abgegebenen Erklärungen dem wirklichen Willen der Vertragsparteien entsprachen ( BGE 120 IV 25 ); beim Ausstellen einer fiktiven Rechnung mit dazugehöriger Quittung ( BGE 121 IV 131 ); beim Erstellen und Vorlegen eines simulierten Vertrages zum Zweck der Erlangung eines Kredits (BGE BGE 123 IV 61 ). Demgegenüber hat das Bundesgericht den Tatbestand der Falschbeurkundung bejaht bei einem Arzt, der einen unrichtigen Krankenschein erstellt und damit gegenüber der Krankenkasse Leistungen für sich oder für den Patienten geltend gemacht hatte ( BGE 117 IV 169 f. unter Hinweis auf BGE 103 IV 184 ); bei einem bauleitenden Architekten, der die Pflicht zur ordnungsgemässen Prüfung der Schlussabrechnung übernommen und überhöhte Rechnungen der Unternehmer geprüft und schriftlich genehmigt hatte ( BGE 119 IV 54 ); bei einem Grossisten, der afrikanisches Antilopenfleisch als europäisches Wildfleisch bezeichnet hatte ( BGE 119 IV 289 ); bei der Herausgabe eines inhaltlich unwahren, bei der Kapitalerhöhung nach dem Verfahren der Simultangründung freiwilligen Emissionsprospekts ( BGE 120 IV 122 ); bei der Erstellung eines unrichtigen Protokolls einer Universalversammlung ( BGE 120 IV 199 , BGE 123 IV 132 ); beim leitenden Angestellten einer Bank, der einem Bankkunden brieflich falsche Angaben über den Stand seines Kontos gemacht hatte ( BGE 120 IV 361 ); bei der falschen Buchführung einer Aktiengesellschaft durch die unrichtige Verbuchung von Vergünstigungen und Ausgaben privater Art als geschäftsbedingte Auslagen sowie durch die Verbuchung von Lohnzahlungen auf einem sachfremden Aufwandkonto ( BGE 122 IV 25 ); bei der zum Zwecke der Täuschung der Strafverfolgungsbehörden vorgenommenen Rückdatierung von Vollmachtsurkunden BGE 125 IV 273 S. 279 ( BGE 122 IV 332 ); bei einem Anwalt, der veranlasste, dass in der Buchhaltung des Anwaltsbüros Einnahmen nicht verbucht wurden, die nach der mit seinem Partner getroffenen Vereinbarung hätten verbucht werden müssen ( BGE 125 IV 17 ). cc) Im jüngeren Schrifttum hat der restriktive Ansatz der neueren Rechtsprechung Zustimmung gefunden (STEFAN TRECHSEL, Schweizerisches Strafgesetzbuch, Kurzkommentar, 2. Aufl., Zürich 1997, vor Art. 251 N. 8). Es wird darauf hingewiesen, dass die restriktive Interpretation der Falschbeurkundung im Einklang mit den Intentionen des Gesetzgebers steht (MARTIN SCHUBARTH, Zur Auslegung der Urkundendelikte, ZStrR 113/1995 S. 393 N. 14). Teilweise wird die neuere Rechtsprechung als im Ergebnis immer noch zu weit gehend kritisiert (GÜNTER STRATENWERTH, Die Falschbeurkundung in der neueren Praxis des Bundesgerichts, recht 16/1998 S. 166 ff.; GUIDO JENNY, Die strafrechtliche Rechtsprechung des Bundesgerichts im Jahre 1997, ZBJV 134/1998 S. 627). Demgegenüber ist die restriktive Auslegung auch auf Kritik gestossen (PIERRE FERRARI, La constatation fausse - le mensonge écrit, ZStrR 112/1994 S. 153 f. und 168; vgl. auch BERNARD CORBOZ, Le faux dans les titres, ZBJV 131/1995 S. 566; derselbe, Les principales infractions, Bern 1997 S. 325). b) Zu prüfen ist im Folgenden, ob den in den Dokumenten 1 und 2 enthaltenen Erklärungen eine erhöhte Glaubwürdigkeit zukommt. Die Dokumente sind auf neutralem Papier abgefasst. Sie enthalten lediglich die Erklärungen in Maschinenschrift sowie die Unterschriften der Beschwerdegegnerinnen 2 und 3. Von ihrem Erscheinungsbild her sind sie nicht geeignet, beim Adressaten ein besonderes Vertrauen zu erwecken. Die Dokumente enthalten Erklärungen zweier Privatpersonen. Die Beschwerdegegnerinnen 2 und 3 haben nicht eine Vertrauensstellung wie der Arzt gegenüber der Krankenkasse ( BGE 117 IV 169 f. mit Hinweis), der bauleitende Architekt gegenüber dem Bauherrn ( BGE 119 IV 54 ) oder der leitende Angestellte einer Bank gegenüber dem Bankkunden ( BGE 120 IV 361 ). Den Beschwerdegegnerinnen 2 und 3 kommt keine besondere Glaubwürdigkeit zu; eine garantenähnliche Stellung ist zu verneinen. Die Beschwerdegegnerinnen 2 und 3 waren nach der zutreffenden Ansicht der Vorinstanz nicht unbeteiligte Dritte. Sie hatten im Hinblick auf die Problematik der Lex Friedrich und die Rechtmässigkeit des Eigentumserwerbs erkennbar ein Interesse daran, die finanzielle Beteiligung der Beschwerdegegnerin 2 am Kauf der Wohnung als BGE 125 IV 273 S. 280 geringer erscheinen zu lassen, als sie in Wirklichkeit war. Überdies war bereits im Frühjahr 1995, als sich das Strafverfahren noch ausschliesslich gegen den Beschwerdegegner 1 richtete, abzusehen, dass den Beschwerdegegnerinnen 2 und 3 im Zusammenhang mit dem Kauf gegebenenfalls selber eine strafbare Handlung vorgeworfen würde. Auch im Hinblick darauf hatten sie ein Interesse daran, die finanzielle Beteiligung der Beschwerdegegnerin 2 herunterzuspielen. Der Untersuchungsrichter hat denn auch von Anfang die Richtigkeit der in den Dokumenten enthaltenen Angaben bezweifelt, und er hat die Beschwerdegegnerinnen 2 und 3 nicht als Zeuginnen, sondern als Auskunftspersonen einvernommen. Gemäss Art. 46 Abs. 1 Ziff. 1 des Gesetzes über das Strafverfahren des Kantons Bern gilt als Auskunftsperson, wer als Täter beziehungsweise als Teilnehmer einer strafbaren Handlung in Frage kommt und nicht angeschuldigt ist. Bereits in der alten, weniger restriktiven Rechtsprechung hat das Bundesgericht eine Falschbeurkundung in einer vergleichbaren Konstellation verneint. In BGE 103 IV 27 ging es um die Meldung von Metzgern über die Zahl der durchgeführten Schlachtungen. Die Metzger waren an der Meldung möglichst hoher Schlachtzahlen interessiert, da sich danach die Höhe der Einfuhrkontingente für Fleisch und Schlachtvieh berechnete. Wie das Bundesgericht darlegte, ist diese Interessenlage nicht dazu angetan, den Angaben der Metzger im Meldeformular besonderen Glauben entgegenzubringen. Ihre Lage gleicht eher jener einer Partei im Prozess als der eines Zeugen, Gutachters oder unbefangenen Dritten (E. 2, S. 29). Der vorliegende Fall unterscheidet sich von BGE 122 IV 332 . Dort hatte eine Angeschuldigte dem Untersuchungsrichter vom Verwaltungsratspräsidenten einer Aktiengesellschaft unterzeichnete und rückdatierte Vollmachtsurkunden eingereicht, mit denen sie beweisen wollte, dass sie befugt war, im Namen der Aktiengesellschaft im Tatzeitpunkt Waren zu kaufen. Das Bundesgericht mass den Vollmachtsurkunden eine erhöhte Glaubwürdigkeit zu. Wesentlich war dafür unter anderem der Umstand, dass die Vollmachten nicht von der Angeschuldigten ausgestellt worden und somit nicht bloss unbeachtliche Schutzbehauptungen waren, sondern vom Verwaltungsratspräsidenten der angeblich vertretenen Aktiengesellschaft. Dieser war aber ein unbeteiligter Dritter, der - anders als im vorliegenden Fall - nicht erkennbar ein eigenes Interesse an der Erklärung hatte. Die erhöhte Glaubwürdigkeit der Dokumente ergibt sich hier auch nicht aus dem Gesetz. Der Beschwerdegegner 1 übergab die Dokumente nicht nur dem Untersuchungsrichter, sondern reichte sie BGE 125 IV 273 S. 281 auch als Beweismittel mit der Beschwerde gegen die Verfügung des Regierungsstatthalters vom 7. März 1995 dem Verwaltungsgericht des Kantons Bern ein. Damit versuchte der Beschwerdegegner 1 nach den verbindlichen tatsächlichen Feststellungen im angefochtenen Urteil zu belegen, dass der Anteil der Beschwerdegegnerin 2 im Moment der Verurkundung des Kaufvertrages nicht hoch genug war, um eine Bewilligungspflicht zu begründen. Gemäss Art. 22 Abs. 1 BewG stellen die Bewilligungsbehörde und die kantonale Beschwerdeinstanz den Sachverhalt von Amtes wegen fest. Sie stellen nur auf Vorbringen ab, die sie geprüft und über die sie nötigenfalls Beweis erhoben haben. Nach Art. 18 Abs. 2 der Verordnung vom 1. Oktober 1984 über den Erwerb von Grundstücken durch Personen im Ausland (BewV; SR 211.412.411) erbringen öffentliche Urkunden für durch sie bezeugte Tatsachen vollen Beweis, wenn die Urkundsperson darin bescheinigt, sich über die Tatsachen aus eigener Wahrnehmung vergewissert zu haben, und wenn keine Anhaltspunkte dafür bestehen, dass die Tatsachen nicht zutreffen. Gemäss Art. 18 Abs. 3 BewV erbringen allgemeine Erklärungen, die lediglich Voraussetzungen der Bewilligungspflicht bestreiten oder Voraussetzungen der Bewilligung behaupten, in keinem Fall Beweis; vorbehalten bleiben Erklärungen über die beabsichtigte Nutzung des Grundstücks. Die Dokumente 1 und 2 sind keine öffentlichen Urkunden, sondern reine Parteibehauptungen, die nach Art. 18 Abs. 3 BewV ausdrücklich in keinem Fall Beweis erbringen. Dokument 2 nimmt verschiedentlich Bezug auf den Beschwerdegegner 1, der als Notar besonderes Vertrauen geniesst. Dadurch erhält das Dokument aber keine erhöhte Glaubwürdigkeit. Aussteller des Dokuments ist nicht der Beschwerdegegner 1. Aussteller sind vielmehr die Beschwerdegegnerinnen 2 und 3. Der Beschwerdegegner 1 erklärt in Dokument 2 nichts. Nach Ziffer 4 des Dokuments hat er es nach den Angaben der Beschwerdegegnerinnen 2 und 3 lediglich aufgesetzt. Der Beweiswert eines Schriftstücks wird nicht dadurch erhöht, dass der Aussteller darin eine Person mit besonderer Glaubwürdigkeit erwähnt. Die Person, welcher die besondere Glaubwürdigkeit zukommt, muss die Erklärung selbst abgegeben haben. Entgegen der Ansicht des Beschwerdeführers kommt Dokument 2 auch nicht eine erhöhte Glaubwürdigkeit zu, weil darin auf Dokument 1 verwiesen und dessen Inhalt wiederholt wird. Ein Schriftstück erhält nicht dadurch erhöhte Glaubwürdigkeit, dass darin auf ein anderes Schriftstück Bezug genommen wird, dem seinerseits die erhöhte Glaubwürdigkeit fehlt. BGE 125 IV 273 S. 282 Der Beschwerdeführer macht (sinngemäss) geltend, die Dokumente 1 und 2 seien auch im Zusammenhang zu sehen mit dem Kaufvertrag und der darin abgegebenen Erklärung des Beschwerdegegners 1, bei der R. AG bestehe keine beherrschende Beteiligung durch Personen im Ausland im Sinne der Vorschriften über den Erwerb von Grundstücken durch Personen im Ausland. Damit werde der Eindruck erweckt, der Beschwerdegegner 1, der als Notar besonderes Vertrauen geniesse, habe die Richtigkeit der in den Dokumenten angegebenen Finanzierung geprüft. Der Einwand ist schon deshalb unbehelflich, weil sich die Erklärung im Kaufvertrag auf die Beteiligung an der Aktiengesellschaft und nicht auf die Finanzierung des Kaufs bezieht. Eine erhöhte Glaubwürdigkeit der Dokumente könnte nur dann angenommen werden, wenn der Beschwerdegegner 1 - sei es im Kaufvertrag, in den Dokumenten oder sonstwo - ausdrücklich erklärt hätte, dass er die in den Dokumenten enthaltenen Angaben der Beschwerdegegnerinnen 2 und 3 über die Finanzierung geprüft habe und die Finanzierung nach diesen Angaben erfolgt sei. Dass dies der Fall sei, macht der Beschwerdeführer nicht geltend und ist nicht ersichtlich. Den Dokumenten kommt danach keine erhöhte Glaubwürdigkeit zu. Objektive Garantien für die Wahrheit der Erklärungen sind nicht gegeben. Die kantonalen Instanzen haben kein Bundesrecht verletzt, wenn sie den Tatbestand der Falschbeurkundung verneint und die in den Dokumenten enthaltenen Erklärungen als einfache schriftliche Lügen betrachtet haben. Die 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